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E421DC" w:rsidRPr="00E421DC" w:rsidTr="00EC651F">
        <w:tc>
          <w:tcPr>
            <w:tcW w:w="4786" w:type="dxa"/>
          </w:tcPr>
          <w:p w:rsidR="00E421DC" w:rsidRPr="00E421DC" w:rsidRDefault="00E421DC" w:rsidP="00E421DC">
            <w:pPr>
              <w:widowControl w:val="0"/>
              <w:autoSpaceDE w:val="0"/>
              <w:autoSpaceDN w:val="0"/>
              <w:adjustRightInd w:val="0"/>
              <w:ind w:left="-453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E421DC" w:rsidRPr="00E421DC" w:rsidRDefault="00E421DC" w:rsidP="00E421DC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E421D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Приложение</w:t>
            </w:r>
          </w:p>
          <w:p w:rsidR="00E421DC" w:rsidRPr="00E421DC" w:rsidRDefault="00E421DC" w:rsidP="00E421DC">
            <w:pPr>
              <w:widowControl w:val="0"/>
              <w:autoSpaceDE w:val="0"/>
              <w:autoSpaceDN w:val="0"/>
              <w:adjustRightInd w:val="0"/>
              <w:spacing w:before="120"/>
              <w:ind w:left="284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E421D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УТВЕРЖДЕН</w:t>
            </w:r>
          </w:p>
          <w:p w:rsidR="00E421DC" w:rsidRPr="00E421DC" w:rsidRDefault="00E421DC" w:rsidP="00E421DC">
            <w:pPr>
              <w:widowControl w:val="0"/>
              <w:tabs>
                <w:tab w:val="left" w:pos="4492"/>
                <w:tab w:val="left" w:pos="4634"/>
              </w:tabs>
              <w:autoSpaceDE w:val="0"/>
              <w:autoSpaceDN w:val="0"/>
              <w:adjustRightInd w:val="0"/>
              <w:ind w:left="284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E421D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постановлением Администрации Железнодорожного</w:t>
            </w:r>
          </w:p>
          <w:p w:rsidR="00E421DC" w:rsidRPr="00E421DC" w:rsidRDefault="00E421DC" w:rsidP="00E421DC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E421D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внутригородского района</w:t>
            </w:r>
          </w:p>
          <w:p w:rsidR="00E421DC" w:rsidRPr="00E421DC" w:rsidRDefault="00E421DC" w:rsidP="00E421DC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E421D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городского округа Самара</w:t>
            </w:r>
          </w:p>
          <w:p w:rsidR="00E421DC" w:rsidRPr="00E421DC" w:rsidRDefault="00E421DC" w:rsidP="00E421DC">
            <w:pPr>
              <w:ind w:left="284" w:right="-108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2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от___</w:t>
            </w:r>
            <w:r w:rsidRPr="00E421D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28.12.2021</w:t>
            </w:r>
            <w:r w:rsidRPr="00E42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_____№__</w:t>
            </w:r>
            <w:r w:rsidRPr="00E421D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322</w:t>
            </w:r>
            <w:r w:rsidRPr="00E421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</w:p>
          <w:p w:rsidR="00E421DC" w:rsidRPr="00E421DC" w:rsidRDefault="00E421DC" w:rsidP="00E421DC">
            <w:pPr>
              <w:widowControl w:val="0"/>
              <w:autoSpaceDE w:val="0"/>
              <w:autoSpaceDN w:val="0"/>
              <w:adjustRightInd w:val="0"/>
              <w:ind w:left="284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E421DC" w:rsidRDefault="00E421DC" w:rsidP="00A27CC5">
      <w:pPr>
        <w:tabs>
          <w:tab w:val="num" w:pos="20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421DC" w:rsidRDefault="00E421DC" w:rsidP="00A27CC5">
      <w:pPr>
        <w:tabs>
          <w:tab w:val="num" w:pos="20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421DC" w:rsidRDefault="00E421DC" w:rsidP="00A27CC5">
      <w:pPr>
        <w:tabs>
          <w:tab w:val="num" w:pos="20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7CC5" w:rsidRPr="0078389A" w:rsidRDefault="00A27CC5" w:rsidP="00A27CC5">
      <w:pPr>
        <w:tabs>
          <w:tab w:val="num" w:pos="20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8389A">
        <w:rPr>
          <w:rFonts w:ascii="Times New Roman" w:hAnsi="Times New Roman"/>
          <w:b/>
          <w:bCs/>
          <w:color w:val="000000"/>
          <w:sz w:val="28"/>
          <w:szCs w:val="28"/>
        </w:rPr>
        <w:t>Порядок установления и оценки применения содержащихся в муниципальных нормативных правовых актах обязательных требований</w:t>
      </w:r>
    </w:p>
    <w:p w:rsidR="00A27CC5" w:rsidRPr="0078389A" w:rsidRDefault="00A27CC5" w:rsidP="00A27CC5">
      <w:pPr>
        <w:tabs>
          <w:tab w:val="num" w:pos="200"/>
        </w:tabs>
        <w:spacing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(далее – Порядок)</w:t>
      </w:r>
    </w:p>
    <w:p w:rsidR="00A27CC5" w:rsidRPr="0078389A" w:rsidRDefault="00A27CC5" w:rsidP="00A27CC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389A">
        <w:rPr>
          <w:rFonts w:ascii="Times New Roman" w:hAnsi="Times New Roman"/>
          <w:sz w:val="28"/>
          <w:szCs w:val="28"/>
        </w:rPr>
        <w:t xml:space="preserve">1. Настоящий </w:t>
      </w:r>
      <w:r w:rsidRPr="0078389A"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 w:rsidRPr="007838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регулирует вопросы </w:t>
      </w:r>
      <w:r w:rsidRPr="0078389A">
        <w:rPr>
          <w:rFonts w:ascii="Times New Roman" w:hAnsi="Times New Roman"/>
          <w:color w:val="000000"/>
          <w:sz w:val="28"/>
          <w:szCs w:val="28"/>
        </w:rPr>
        <w:t>установления и оценки применения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8389A">
        <w:rPr>
          <w:rFonts w:ascii="Times New Roman" w:hAnsi="Times New Roman"/>
          <w:color w:val="000000"/>
          <w:sz w:val="28"/>
          <w:szCs w:val="28"/>
        </w:rPr>
        <w:t xml:space="preserve"> содержащихся в муниципальных нормативных правовых актах</w:t>
      </w:r>
      <w:r w:rsidRPr="007838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:rsidR="00A27CC5" w:rsidRPr="0078389A" w:rsidRDefault="00A27CC5" w:rsidP="00A27CC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38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При установлении и </w:t>
      </w:r>
      <w:r w:rsidRPr="0078389A">
        <w:rPr>
          <w:rFonts w:ascii="Times New Roman" w:hAnsi="Times New Roman"/>
          <w:color w:val="000000"/>
          <w:sz w:val="28"/>
          <w:szCs w:val="28"/>
        </w:rPr>
        <w:t>оценке применения обязательных</w:t>
      </w:r>
      <w:r w:rsidRPr="007838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требований в соответствии с пунктом 5 настоящего Порядка такие требования подлежат оценке на соответствие принципам, установленным</w:t>
      </w:r>
      <w:r w:rsidRPr="0078389A">
        <w:rPr>
          <w:rFonts w:ascii="Times New Roman" w:hAnsi="Times New Roman"/>
          <w:color w:val="000000"/>
          <w:sz w:val="28"/>
          <w:szCs w:val="28"/>
        </w:rPr>
        <w:t xml:space="preserve"> Федеральным законом </w:t>
      </w:r>
      <w:r w:rsidRPr="007838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Федерации», а также на предмет достижения целей установления и оценки применения обязательных требований.  </w:t>
      </w:r>
    </w:p>
    <w:p w:rsidR="00A27CC5" w:rsidRPr="0078389A" w:rsidRDefault="00A27CC5" w:rsidP="00A27CC5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389A">
        <w:rPr>
          <w:color w:val="000000"/>
          <w:sz w:val="28"/>
          <w:szCs w:val="28"/>
        </w:rPr>
        <w:t>3. Настоящий Порядок не распространяется на отношения, связанные с установлением и оценкой применения обязательных требований:</w:t>
      </w:r>
    </w:p>
    <w:p w:rsidR="00A27CC5" w:rsidRPr="0078389A" w:rsidRDefault="00A27CC5" w:rsidP="00A27CC5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389A">
        <w:rPr>
          <w:color w:val="000000"/>
          <w:sz w:val="28"/>
          <w:szCs w:val="28"/>
        </w:rPr>
        <w:t>1)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:rsidR="00A27CC5" w:rsidRPr="0078389A" w:rsidRDefault="00A27CC5" w:rsidP="00A27CC5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</w:t>
      </w:r>
      <w:r w:rsidRPr="0078389A">
        <w:rPr>
          <w:color w:val="000000"/>
          <w:sz w:val="28"/>
          <w:szCs w:val="28"/>
        </w:rPr>
        <w:t>устанавливаемых в сфере государственной безопасности, гражданской обороны, противодействия преступности (в том числе противодействия терроризму), охраны общественного порядка, обеспечения общественной безопасности;</w:t>
      </w:r>
    </w:p>
    <w:p w:rsidR="00A27CC5" w:rsidRPr="0078389A" w:rsidRDefault="00A27CC5" w:rsidP="00A27CC5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389A">
        <w:rPr>
          <w:color w:val="000000"/>
          <w:sz w:val="28"/>
          <w:szCs w:val="28"/>
        </w:rPr>
        <w:t>3) устанавливаемых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муниципального образования на его части;</w:t>
      </w:r>
    </w:p>
    <w:p w:rsidR="00A27CC5" w:rsidRPr="0078389A" w:rsidRDefault="00A27CC5" w:rsidP="00A27CC5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389A">
        <w:rPr>
          <w:color w:val="000000"/>
          <w:sz w:val="28"/>
          <w:szCs w:val="28"/>
        </w:rPr>
        <w:t>4) в сфере действия муниципальных нормативных правовых актов о местных налогах и сборах, бюджетного законодательства Российской Федерации.</w:t>
      </w:r>
    </w:p>
    <w:p w:rsidR="00A27CC5" w:rsidRPr="00F478C5" w:rsidRDefault="00A27CC5" w:rsidP="00A27CC5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389A">
        <w:rPr>
          <w:color w:val="000000"/>
          <w:sz w:val="28"/>
          <w:szCs w:val="28"/>
        </w:rPr>
        <w:t xml:space="preserve">4. В целях обеспечения систематизации обязательных требований и информирования заинтересованных лиц </w:t>
      </w:r>
      <w:r>
        <w:rPr>
          <w:color w:val="000000"/>
          <w:sz w:val="28"/>
          <w:szCs w:val="28"/>
        </w:rPr>
        <w:t>Администрация Железнодорожного внутригородского района городского округа Самара</w:t>
      </w:r>
      <w:r w:rsidRPr="0078389A">
        <w:rPr>
          <w:i/>
          <w:iCs/>
          <w:color w:val="000000"/>
          <w:sz w:val="28"/>
          <w:szCs w:val="28"/>
        </w:rPr>
        <w:t xml:space="preserve"> </w:t>
      </w:r>
      <w:r w:rsidRPr="0078389A">
        <w:rPr>
          <w:color w:val="000000"/>
          <w:sz w:val="28"/>
          <w:szCs w:val="28"/>
        </w:rPr>
        <w:t xml:space="preserve">формирует перечень муниципальных нормативных правовых актов с указанием их структурных единиц, содержащих обязательные требования, оценка соблюдения которых является предметом муниципального контроля. Муниципальный правовой акт, содержащий указанный перечень размещается </w:t>
      </w:r>
      <w:r>
        <w:rPr>
          <w:color w:val="000000"/>
          <w:sz w:val="28"/>
          <w:szCs w:val="28"/>
        </w:rPr>
        <w:t>Администрацией Железнодорожного внутригородского района городского округа Самара</w:t>
      </w:r>
      <w:r w:rsidRPr="0078389A">
        <w:rPr>
          <w:color w:val="000000"/>
          <w:sz w:val="28"/>
          <w:szCs w:val="28"/>
        </w:rPr>
        <w:t xml:space="preserve"> на официальном сайте </w:t>
      </w:r>
      <w:r>
        <w:rPr>
          <w:color w:val="000000"/>
          <w:sz w:val="28"/>
          <w:szCs w:val="28"/>
        </w:rPr>
        <w:t>Администрации Железнодорожного внутригородского района городского округа Самара</w:t>
      </w:r>
      <w:r w:rsidRPr="0078389A">
        <w:rPr>
          <w:i/>
          <w:iCs/>
          <w:color w:val="000000"/>
          <w:sz w:val="28"/>
          <w:szCs w:val="28"/>
        </w:rPr>
        <w:t xml:space="preserve"> </w:t>
      </w:r>
      <w:r w:rsidRPr="0078389A">
        <w:rPr>
          <w:color w:val="000000"/>
          <w:sz w:val="28"/>
          <w:szCs w:val="28"/>
        </w:rPr>
        <w:t>в информационно-</w:t>
      </w:r>
      <w:r>
        <w:rPr>
          <w:color w:val="000000"/>
          <w:sz w:val="28"/>
          <w:szCs w:val="28"/>
        </w:rPr>
        <w:t>теле</w:t>
      </w:r>
      <w:r w:rsidRPr="0078389A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оммуникационной сети «Интернет» в разделе «Контрольно-надзорная деятельность».</w:t>
      </w:r>
    </w:p>
    <w:p w:rsidR="00A27CC5" w:rsidRDefault="00A27CC5" w:rsidP="00A27CC5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Железнодорожного внутригородского района городского округа Самара устанавливает обязательные требования с соблюдением принципов, определенных статьей 4 Федерального закона от 31.07.2020 № 247-ФЗ «Об обязательных требованиях в Российской Федерации». </w:t>
      </w:r>
    </w:p>
    <w:p w:rsidR="00A27CC5" w:rsidRPr="0078389A" w:rsidRDefault="00A27CC5" w:rsidP="00A27CC5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применения обязательных требований включает: оценку достижения целей  введения обязательных требований, а также оценку </w:t>
      </w:r>
      <w:r>
        <w:rPr>
          <w:color w:val="000000"/>
          <w:sz w:val="28"/>
          <w:szCs w:val="28"/>
        </w:rPr>
        <w:lastRenderedPageBreak/>
        <w:t xml:space="preserve">фактического воздействия муниципальных нормативных правовых актов, устанавливающих обязательные требования. </w:t>
      </w:r>
    </w:p>
    <w:p w:rsidR="00A27CC5" w:rsidRDefault="00A27CC5" w:rsidP="00A27CC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8389A">
        <w:rPr>
          <w:color w:val="000000"/>
          <w:sz w:val="28"/>
          <w:szCs w:val="28"/>
        </w:rPr>
        <w:t>В целях оценки обязательных требований на соответствие законодательству Российской Федерации, законодате</w:t>
      </w:r>
      <w:r>
        <w:rPr>
          <w:color w:val="000000"/>
          <w:sz w:val="28"/>
          <w:szCs w:val="28"/>
        </w:rPr>
        <w:t>льству Самарской области проводи</w:t>
      </w:r>
      <w:r w:rsidRPr="0078389A">
        <w:rPr>
          <w:color w:val="000000"/>
          <w:sz w:val="28"/>
          <w:szCs w:val="28"/>
        </w:rPr>
        <w:t>тся правовая экспертиза проекта муниципального нормативного правового акта, устанавливающего обязательные требования.</w:t>
      </w:r>
    </w:p>
    <w:p w:rsidR="00A27CC5" w:rsidRDefault="00A27CC5" w:rsidP="00A27CC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Процедура оценки обязательных требований состоит из следующих этапов: </w:t>
      </w:r>
    </w:p>
    <w:p w:rsidR="00A27CC5" w:rsidRDefault="00A27CC5" w:rsidP="00A27CC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формирование проекта перечня муниципальных нормативных правовых актов Администрации Железнодорожного внутригородского района городского округа Самара, содержащих обязательные требования и подлежащих оценке применения обязательных требований и его обсуждение на официальном сайте Администрации Железнодорожного внутригородского района городского округа Самара в информационно-телекоммуникационной сети Интернет; </w:t>
      </w:r>
    </w:p>
    <w:p w:rsidR="00A27CC5" w:rsidRPr="0031616A" w:rsidRDefault="00A27CC5" w:rsidP="00A27CC5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доработка проекта перечня муниципальных правовых актов  с учетом результатов его </w:t>
      </w:r>
      <w:r w:rsidRPr="00044BF7">
        <w:rPr>
          <w:color w:val="000000"/>
          <w:sz w:val="28"/>
          <w:szCs w:val="28"/>
        </w:rPr>
        <w:t>публичного обсуждения</w:t>
      </w:r>
      <w:r>
        <w:rPr>
          <w:color w:val="000000"/>
          <w:sz w:val="28"/>
          <w:szCs w:val="28"/>
        </w:rPr>
        <w:t xml:space="preserve">. </w:t>
      </w:r>
    </w:p>
    <w:p w:rsidR="00A27CC5" w:rsidRDefault="00A27CC5" w:rsidP="00A27CC5">
      <w:pPr>
        <w:pStyle w:val="s1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подготовка аналитической записки по результатам оценки применения обязательных требований, утверждение указанной записки руководителем контрольного органа и ее опубликование; </w:t>
      </w:r>
    </w:p>
    <w:p w:rsidR="00A27CC5" w:rsidRPr="0090144B" w:rsidRDefault="00A27CC5" w:rsidP="00A27CC5">
      <w:pPr>
        <w:tabs>
          <w:tab w:val="left" w:pos="851"/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389A">
        <w:rPr>
          <w:rFonts w:ascii="Times New Roman" w:hAnsi="Times New Roman"/>
          <w:color w:val="000000"/>
          <w:sz w:val="28"/>
          <w:szCs w:val="28"/>
        </w:rPr>
        <w:t>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Администрация Железнодорожного внутригородского района городского округа Самара</w:t>
      </w:r>
      <w:r w:rsidRPr="0078389A">
        <w:rPr>
          <w:rFonts w:ascii="Times New Roman" w:hAnsi="Times New Roman"/>
          <w:color w:val="000000"/>
          <w:sz w:val="28"/>
          <w:szCs w:val="28"/>
        </w:rPr>
        <w:t xml:space="preserve"> проводит оценку фактического воздействия муниципальных нормативных актов, сод</w:t>
      </w:r>
      <w:r>
        <w:rPr>
          <w:rFonts w:ascii="Times New Roman" w:hAnsi="Times New Roman"/>
          <w:color w:val="000000"/>
          <w:sz w:val="28"/>
          <w:szCs w:val="28"/>
        </w:rPr>
        <w:t xml:space="preserve">ержащих обязательные требования, путем </w:t>
      </w:r>
      <w:r w:rsidRPr="00E162A7">
        <w:rPr>
          <w:rFonts w:ascii="Times New Roman" w:hAnsi="Times New Roman"/>
          <w:color w:val="000000"/>
          <w:sz w:val="28"/>
          <w:szCs w:val="28"/>
        </w:rPr>
        <w:t>подготовки аналитической записки. Аналитическая записка подлежит размещению на официальном сайте Администрации Железнодорожного внутригородского района городского округа Самара</w:t>
      </w:r>
      <w:r>
        <w:rPr>
          <w:rFonts w:ascii="Times New Roman" w:hAnsi="Times New Roman"/>
          <w:color w:val="000000"/>
          <w:sz w:val="28"/>
          <w:szCs w:val="28"/>
        </w:rPr>
        <w:t xml:space="preserve"> в разделе «Контрольно-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надзорная деятельность»</w:t>
      </w:r>
      <w:r w:rsidRPr="00E162A7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E162A7"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информационно-телекоммуникационной сети «Интернет</w:t>
      </w:r>
      <w:r w:rsidRPr="0090144B">
        <w:rPr>
          <w:rFonts w:ascii="Times New Roman" w:hAnsi="Times New Roman"/>
          <w:color w:val="000000"/>
          <w:sz w:val="28"/>
          <w:szCs w:val="28"/>
        </w:rPr>
        <w:t xml:space="preserve">» до </w:t>
      </w:r>
      <w:r w:rsidRPr="0090144B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Pr="0090144B">
        <w:rPr>
          <w:rFonts w:ascii="Times New Roman" w:hAnsi="Times New Roman"/>
          <w:color w:val="000000"/>
          <w:sz w:val="28"/>
          <w:szCs w:val="28"/>
        </w:rPr>
        <w:t xml:space="preserve"> года, следующего за отчетным периодом.</w:t>
      </w:r>
    </w:p>
    <w:p w:rsidR="00A27CC5" w:rsidRDefault="00A27CC5" w:rsidP="00A27CC5">
      <w:pPr>
        <w:pStyle w:val="s1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Аналитическая записка должна состоять из:</w:t>
      </w:r>
    </w:p>
    <w:p w:rsidR="00A27CC5" w:rsidRDefault="00A27CC5" w:rsidP="00A27CC5">
      <w:pPr>
        <w:pStyle w:val="s1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описательной части;</w:t>
      </w:r>
    </w:p>
    <w:p w:rsidR="00A27CC5" w:rsidRPr="0078389A" w:rsidRDefault="00A27CC5" w:rsidP="00A27CC5">
      <w:pPr>
        <w:pStyle w:val="s1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аналитической части.</w:t>
      </w:r>
    </w:p>
    <w:p w:rsidR="00A27CC5" w:rsidRDefault="00A27CC5" w:rsidP="00A27CC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8389A">
        <w:rPr>
          <w:color w:val="000000"/>
          <w:sz w:val="28"/>
          <w:szCs w:val="28"/>
        </w:rPr>
        <w:t xml:space="preserve">Анализ обоснованности установленных обязательных требований, определения и оценки фактических последствий </w:t>
      </w:r>
      <w:r w:rsidRPr="0078389A">
        <w:rPr>
          <w:color w:val="000000"/>
          <w:sz w:val="28"/>
          <w:szCs w:val="28"/>
          <w:shd w:val="clear" w:color="auto" w:fill="FFFFFF"/>
        </w:rPr>
        <w:t xml:space="preserve">проводится в том числе по инициативе субъектов предпринимательской, инвестиционной и иной экономической деятельности, общественных объединений в сфере предпринимательской, инвестиционной и иной экономической деятельности, органов местного самоуправления </w:t>
      </w:r>
      <w:r>
        <w:rPr>
          <w:color w:val="000000"/>
          <w:sz w:val="28"/>
          <w:szCs w:val="28"/>
        </w:rPr>
        <w:t>Железнодорожного внутригородского района городского округа Самара</w:t>
      </w:r>
      <w:r w:rsidRPr="0078389A">
        <w:rPr>
          <w:i/>
          <w:iCs/>
          <w:color w:val="000000"/>
          <w:sz w:val="28"/>
          <w:szCs w:val="28"/>
        </w:rPr>
        <w:t xml:space="preserve">, </w:t>
      </w:r>
      <w:r w:rsidRPr="0078389A">
        <w:rPr>
          <w:color w:val="000000"/>
          <w:sz w:val="28"/>
          <w:szCs w:val="28"/>
        </w:rPr>
        <w:t>и</w:t>
      </w:r>
      <w:r w:rsidRPr="0078389A">
        <w:rPr>
          <w:color w:val="000000"/>
          <w:sz w:val="28"/>
          <w:szCs w:val="28"/>
          <w:shd w:val="clear" w:color="auto" w:fill="FFFFFF"/>
        </w:rPr>
        <w:t xml:space="preserve">сполнительных органов государственной власти Самарской области, уполномоченного по защите прав предпринимателей в Самарской области, Самарской Губернской </w:t>
      </w:r>
      <w:r>
        <w:rPr>
          <w:color w:val="000000"/>
          <w:sz w:val="28"/>
          <w:szCs w:val="28"/>
          <w:shd w:val="clear" w:color="auto" w:fill="FFFFFF"/>
        </w:rPr>
        <w:t>Думы.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1361"/>
        <w:gridCol w:w="2538"/>
      </w:tblGrid>
      <w:tr w:rsidR="00A27CC5" w:rsidRPr="003F559A" w:rsidTr="000142D1">
        <w:trPr>
          <w:jc w:val="center"/>
        </w:trPr>
        <w:tc>
          <w:tcPr>
            <w:tcW w:w="5382" w:type="dxa"/>
          </w:tcPr>
          <w:p w:rsidR="00A27CC5" w:rsidRDefault="00A27CC5" w:rsidP="000142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7CC5" w:rsidRDefault="00A27CC5" w:rsidP="000142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7CC5" w:rsidRDefault="00A27CC5" w:rsidP="000142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27CC5" w:rsidRPr="003F559A" w:rsidRDefault="00A27CC5" w:rsidP="000142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EB1499">
              <w:rPr>
                <w:rFonts w:ascii="Times New Roman" w:hAnsi="Times New Roman"/>
                <w:sz w:val="28"/>
                <w:szCs w:val="28"/>
              </w:rPr>
              <w:t xml:space="preserve"> Железнодорожного внутригородского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</w:tcPr>
          <w:p w:rsidR="00A27CC5" w:rsidRPr="003F559A" w:rsidRDefault="00A27CC5" w:rsidP="000142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A27CC5" w:rsidRDefault="00A27CC5" w:rsidP="000142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7CC5" w:rsidRDefault="00A27CC5" w:rsidP="000142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27CC5" w:rsidRDefault="00A27CC5" w:rsidP="000142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27CC5" w:rsidRDefault="00A27CC5" w:rsidP="000142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27CC5" w:rsidRPr="003F559A" w:rsidRDefault="00A27CC5" w:rsidP="000142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3F559A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3F559A">
              <w:rPr>
                <w:rFonts w:ascii="Times New Roman" w:hAnsi="Times New Roman"/>
                <w:sz w:val="28"/>
                <w:szCs w:val="28"/>
              </w:rPr>
              <w:t>Тюнин</w:t>
            </w:r>
            <w:proofErr w:type="spellEnd"/>
          </w:p>
        </w:tc>
      </w:tr>
    </w:tbl>
    <w:p w:rsidR="00A27CC5" w:rsidRPr="00B53514" w:rsidRDefault="00A27CC5" w:rsidP="00A27CC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CC5" w:rsidRDefault="00A27CC5" w:rsidP="00A27CC5">
      <w:pPr>
        <w:pStyle w:val="ConsPlusTitle"/>
        <w:rPr>
          <w:rFonts w:ascii="Times New Roman" w:eastAsia="Times New Roman" w:hAnsi="Times New Roman"/>
          <w:sz w:val="28"/>
          <w:szCs w:val="28"/>
        </w:rPr>
      </w:pPr>
    </w:p>
    <w:p w:rsidR="00A27CC5" w:rsidRDefault="00A27CC5" w:rsidP="00A27CC5">
      <w:pPr>
        <w:pStyle w:val="ConsPlusTitle"/>
        <w:rPr>
          <w:rFonts w:ascii="Times New Roman" w:eastAsia="Times New Roman" w:hAnsi="Times New Roman"/>
          <w:sz w:val="28"/>
          <w:szCs w:val="28"/>
        </w:rPr>
      </w:pPr>
    </w:p>
    <w:p w:rsidR="00A27CC5" w:rsidRDefault="00A27CC5" w:rsidP="00A27CC5">
      <w:pPr>
        <w:pStyle w:val="ConsPlusTitle"/>
        <w:rPr>
          <w:rFonts w:ascii="Times New Roman" w:eastAsia="Times New Roman" w:hAnsi="Times New Roman"/>
          <w:sz w:val="28"/>
          <w:szCs w:val="28"/>
        </w:rPr>
      </w:pPr>
    </w:p>
    <w:p w:rsidR="00A27CC5" w:rsidRDefault="00A27CC5" w:rsidP="00A27CC5">
      <w:pPr>
        <w:pStyle w:val="ConsPlusTitle"/>
        <w:rPr>
          <w:rFonts w:ascii="Times New Roman" w:eastAsia="Times New Roman" w:hAnsi="Times New Roman"/>
          <w:sz w:val="28"/>
          <w:szCs w:val="28"/>
        </w:rPr>
      </w:pPr>
    </w:p>
    <w:p w:rsidR="00A27CC5" w:rsidRDefault="00A27CC5" w:rsidP="00A27CC5">
      <w:pPr>
        <w:pStyle w:val="ConsPlusTitle"/>
        <w:rPr>
          <w:rFonts w:ascii="Times New Roman" w:eastAsia="Times New Roman" w:hAnsi="Times New Roman"/>
          <w:sz w:val="28"/>
          <w:szCs w:val="28"/>
        </w:rPr>
      </w:pPr>
    </w:p>
    <w:p w:rsidR="00A27CC5" w:rsidRDefault="00A27CC5" w:rsidP="00A27CC5">
      <w:pPr>
        <w:pStyle w:val="ConsPlusTitle"/>
        <w:rPr>
          <w:rFonts w:ascii="Times New Roman" w:eastAsia="Times New Roman" w:hAnsi="Times New Roman"/>
          <w:sz w:val="28"/>
          <w:szCs w:val="28"/>
        </w:rPr>
      </w:pPr>
    </w:p>
    <w:p w:rsidR="00A27CC5" w:rsidRDefault="00A27CC5" w:rsidP="00A27CC5">
      <w:pPr>
        <w:pStyle w:val="ConsPlusTitle"/>
        <w:rPr>
          <w:rFonts w:ascii="Times New Roman" w:eastAsia="Times New Roman" w:hAnsi="Times New Roman"/>
          <w:sz w:val="28"/>
          <w:szCs w:val="28"/>
        </w:rPr>
      </w:pPr>
    </w:p>
    <w:p w:rsidR="00A27CC5" w:rsidRDefault="00A27CC5" w:rsidP="00A27CC5">
      <w:pPr>
        <w:pStyle w:val="ConsPlusTitle"/>
        <w:rPr>
          <w:rFonts w:ascii="Times New Roman" w:eastAsia="Times New Roman" w:hAnsi="Times New Roman"/>
          <w:sz w:val="28"/>
          <w:szCs w:val="28"/>
        </w:rPr>
      </w:pPr>
    </w:p>
    <w:p w:rsidR="00A27CC5" w:rsidRDefault="00A27CC5" w:rsidP="00A27CC5">
      <w:pPr>
        <w:pStyle w:val="ConsPlusTitle"/>
        <w:rPr>
          <w:rFonts w:ascii="Times New Roman" w:eastAsia="Times New Roman" w:hAnsi="Times New Roman"/>
          <w:sz w:val="28"/>
          <w:szCs w:val="28"/>
        </w:rPr>
      </w:pPr>
    </w:p>
    <w:p w:rsidR="00A27CC5" w:rsidRDefault="00A27CC5" w:rsidP="00A27CC5">
      <w:pPr>
        <w:pStyle w:val="ConsPlusTitle"/>
        <w:rPr>
          <w:rFonts w:ascii="Times New Roman" w:eastAsia="Times New Roman" w:hAnsi="Times New Roman"/>
          <w:sz w:val="28"/>
          <w:szCs w:val="28"/>
        </w:rPr>
      </w:pPr>
    </w:p>
    <w:p w:rsidR="00A27CC5" w:rsidRDefault="00A27CC5" w:rsidP="00A27CC5">
      <w:pPr>
        <w:pStyle w:val="ConsPlusTitle"/>
        <w:rPr>
          <w:rFonts w:ascii="Times New Roman" w:eastAsia="Times New Roman" w:hAnsi="Times New Roman"/>
          <w:sz w:val="28"/>
          <w:szCs w:val="28"/>
        </w:rPr>
      </w:pPr>
    </w:p>
    <w:p w:rsidR="00A27CC5" w:rsidRDefault="00A27CC5" w:rsidP="00A27CC5">
      <w:pPr>
        <w:pStyle w:val="ConsPlusTitle"/>
        <w:rPr>
          <w:rFonts w:ascii="Times New Roman" w:eastAsia="Times New Roman" w:hAnsi="Times New Roman"/>
          <w:sz w:val="28"/>
          <w:szCs w:val="28"/>
        </w:rPr>
      </w:pPr>
    </w:p>
    <w:p w:rsidR="00A27CC5" w:rsidRDefault="00A27CC5" w:rsidP="00A27CC5">
      <w:pPr>
        <w:pStyle w:val="ConsPlusTitle"/>
        <w:rPr>
          <w:rFonts w:ascii="Times New Roman" w:eastAsia="Times New Roman" w:hAnsi="Times New Roman"/>
          <w:sz w:val="28"/>
          <w:szCs w:val="28"/>
        </w:rPr>
      </w:pPr>
    </w:p>
    <w:p w:rsidR="00A27CC5" w:rsidRDefault="00A27CC5" w:rsidP="00A27CC5">
      <w:pPr>
        <w:pStyle w:val="ConsPlusTitle"/>
        <w:rPr>
          <w:rFonts w:ascii="Times New Roman" w:eastAsia="Times New Roman" w:hAnsi="Times New Roman"/>
          <w:sz w:val="28"/>
          <w:szCs w:val="28"/>
        </w:rPr>
      </w:pPr>
    </w:p>
    <w:p w:rsidR="00A27CC5" w:rsidRDefault="00A27CC5" w:rsidP="00A27CC5">
      <w:pPr>
        <w:pStyle w:val="ConsPlusTitle"/>
        <w:rPr>
          <w:rFonts w:ascii="Times New Roman" w:eastAsia="Times New Roman" w:hAnsi="Times New Roman"/>
          <w:sz w:val="28"/>
          <w:szCs w:val="28"/>
        </w:rPr>
      </w:pPr>
    </w:p>
    <w:p w:rsidR="00A27CC5" w:rsidRPr="00D43637" w:rsidRDefault="00A27CC5" w:rsidP="00A27CC5">
      <w:pPr>
        <w:pStyle w:val="ConsPlusTitle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Васильев Виктор Юрьевич</w:t>
      </w:r>
    </w:p>
    <w:p w:rsidR="00A27CC5" w:rsidRPr="00265CDC" w:rsidRDefault="00A27CC5" w:rsidP="00A27CC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>+7(846) 339-01-25</w:t>
      </w:r>
    </w:p>
    <w:p w:rsidR="00534B43" w:rsidRDefault="00A27CC5">
      <w:r>
        <w:t xml:space="preserve"> </w:t>
      </w:r>
    </w:p>
    <w:sectPr w:rsidR="00534B43" w:rsidSect="0053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CC5"/>
    <w:rsid w:val="000F1B49"/>
    <w:rsid w:val="002258A5"/>
    <w:rsid w:val="00534B43"/>
    <w:rsid w:val="00851B8B"/>
    <w:rsid w:val="00A03D7F"/>
    <w:rsid w:val="00A27CC5"/>
    <w:rsid w:val="00D25FDA"/>
    <w:rsid w:val="00E4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4E7F"/>
  <w15:docId w15:val="{2C3C54E1-ED74-488A-A497-E62C793E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C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C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s1">
    <w:name w:val="s_1"/>
    <w:basedOn w:val="a"/>
    <w:rsid w:val="00A27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42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VasilevVJu</dc:creator>
  <cp:keywords/>
  <dc:description/>
  <cp:lastModifiedBy>Васильева Виктория Александровна</cp:lastModifiedBy>
  <cp:revision>4</cp:revision>
  <dcterms:created xsi:type="dcterms:W3CDTF">2021-12-28T08:54:00Z</dcterms:created>
  <dcterms:modified xsi:type="dcterms:W3CDTF">2021-12-28T12:30:00Z</dcterms:modified>
</cp:coreProperties>
</file>